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Gentium Basic" w:hAnsi="Gentium Basic"/>
        </w:rPr>
      </w:pPr>
      <w:r>
        <w:rPr>
          <w:rFonts w:ascii="Gentium Basic" w:hAnsi="Gentium Basic"/>
          <w:b/>
          <w:bCs/>
          <w:sz w:val="22"/>
          <w:szCs w:val="22"/>
        </w:rPr>
        <w:t>Prof. Sara Dickinson</w:t>
      </w:r>
    </w:p>
    <w:p>
      <w:pPr>
        <w:pStyle w:val="Normal"/>
        <w:bidi w:val="0"/>
        <w:jc w:val="center"/>
        <w:rPr>
          <w:rFonts w:ascii="Gentium Basic" w:hAnsi="Gentium Basic"/>
          <w:b/>
          <w:b/>
          <w:bCs/>
          <w:sz w:val="22"/>
          <w:szCs w:val="22"/>
        </w:rPr>
      </w:pPr>
      <w:r>
        <w:rPr>
          <w:rFonts w:ascii="Gentium Basic" w:hAnsi="Gentium Basic"/>
          <w:b/>
          <w:bCs/>
          <w:sz w:val="22"/>
          <w:szCs w:val="22"/>
        </w:rPr>
        <w:t>Letteratura e cultura russa II (TTMI),</w:t>
      </w:r>
    </w:p>
    <w:p>
      <w:pPr>
        <w:pStyle w:val="Normal"/>
        <w:bidi w:val="0"/>
        <w:jc w:val="center"/>
        <w:rPr>
          <w:rFonts w:ascii="Gentium Basic" w:hAnsi="Gentium Basic"/>
          <w:b/>
          <w:b/>
          <w:bCs/>
          <w:sz w:val="22"/>
          <w:szCs w:val="22"/>
        </w:rPr>
      </w:pPr>
      <w:r>
        <w:rPr>
          <w:rFonts w:ascii="Gentium Basic" w:hAnsi="Gentium Basic"/>
          <w:b/>
          <w:bCs/>
          <w:sz w:val="22"/>
          <w:szCs w:val="22"/>
        </w:rPr>
        <w:t>codice 104355, a.a. 2021/2022</w:t>
        <w:tab/>
      </w:r>
    </w:p>
    <w:p>
      <w:pPr>
        <w:pStyle w:val="Normal"/>
        <w:bidi w:val="0"/>
        <w:jc w:val="left"/>
        <w:rPr>
          <w:rFonts w:ascii="Gentium Basic" w:hAnsi="Gentium Basic"/>
          <w:b/>
          <w:b/>
          <w:bCs/>
          <w:sz w:val="22"/>
          <w:szCs w:val="22"/>
        </w:rPr>
      </w:pPr>
      <w:r>
        <w:rPr>
          <w:rFonts w:ascii="Gentium Basic" w:hAnsi="Gentium Basic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Gentium Basic" w:hAnsi="Gentium Basic"/>
        </w:rPr>
      </w:pPr>
      <w:r>
        <w:rPr>
          <w:rFonts w:ascii="Gentium Basic" w:hAnsi="Gentium Basic"/>
          <w:b/>
          <w:bCs/>
          <w:sz w:val="22"/>
          <w:szCs w:val="22"/>
        </w:rPr>
        <w:t>COMPITO  n. 2</w:t>
      </w:r>
    </w:p>
    <w:p>
      <w:pPr>
        <w:pStyle w:val="Normal"/>
        <w:bidi w:val="0"/>
        <w:jc w:val="center"/>
        <w:rPr>
          <w:rFonts w:ascii="Gentium Basic" w:hAnsi="Gentium Basic"/>
        </w:rPr>
      </w:pPr>
      <w:r>
        <w:rPr>
          <w:rFonts w:ascii="Gentium Basic" w:hAnsi="Gentium Basic"/>
          <w:b/>
          <w:bCs/>
          <w:sz w:val="22"/>
          <w:szCs w:val="22"/>
        </w:rPr>
        <w:t>un confronto di due traduzioni di Dostoevskij, “La mite”</w:t>
      </w:r>
    </w:p>
    <w:p>
      <w:pPr>
        <w:pStyle w:val="Normal"/>
        <w:bidi w:val="0"/>
        <w:jc w:val="center"/>
        <w:rPr>
          <w:rFonts w:ascii="Gentium Basic" w:hAnsi="Gentium Basic"/>
          <w:u w:val="single"/>
        </w:rPr>
      </w:pPr>
      <w:r>
        <w:rPr>
          <w:rFonts w:ascii="Gentium Basic" w:hAnsi="Gentium Basic"/>
          <w:b/>
          <w:bCs/>
          <w:sz w:val="22"/>
          <w:szCs w:val="22"/>
          <w:u w:val="single"/>
        </w:rPr>
        <w:t xml:space="preserve">scadenza venerdì </w:t>
      </w:r>
      <w:r>
        <w:rPr>
          <w:rFonts w:eastAsia="Songti SC" w:cs="Arial Unicode MS" w:ascii="Gentium Basic" w:hAnsi="Gentium Basic"/>
          <w:b/>
          <w:bCs/>
          <w:color w:val="auto"/>
          <w:kern w:val="2"/>
          <w:sz w:val="22"/>
          <w:szCs w:val="22"/>
          <w:u w:val="single"/>
          <w:lang w:val="en-US" w:eastAsia="zh-CN" w:bidi="hi-IN"/>
        </w:rPr>
        <w:t xml:space="preserve">1 dicembre </w:t>
      </w:r>
      <w:r>
        <w:rPr>
          <w:rFonts w:ascii="Gentium Basic" w:hAnsi="Gentium Basic"/>
          <w:b/>
          <w:bCs/>
          <w:sz w:val="22"/>
          <w:szCs w:val="22"/>
          <w:u w:val="single"/>
        </w:rPr>
        <w:t>21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rFonts w:ascii="Gentium Basic" w:hAnsi="Gentium Basic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  <w:t xml:space="preserve">1. Scegliete 3 momenti </w:t>
      </w:r>
      <w:r>
        <w:rPr>
          <w:rFonts w:ascii="Gentium Basic" w:hAnsi="Gentium Basic"/>
          <w:b w:val="false"/>
          <w:bCs w:val="false"/>
          <w:sz w:val="22"/>
          <w:szCs w:val="22"/>
          <w:u w:val="single"/>
        </w:rPr>
        <w:t>interessanti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(parole, combinazioni di parole, frasi, ma non passi lunghi) nella parte del libro indicata sotto in cui le due traduzioni de “La mite” sono nettamente diverse 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(oppure la stessa cosa con “Padrone e servo” di Tolstoj, vedi p. 3 qui sotto).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  <w:t>2. Controllare il testo in lingua russa per ognuno di questi tre momenti:</w:t>
      </w:r>
    </w:p>
    <w:p>
      <w:pPr>
        <w:pStyle w:val="Normal"/>
        <w:bidi w:val="0"/>
        <w:jc w:val="left"/>
        <w:rPr/>
      </w:pPr>
      <w:hyperlink r:id="rId2">
        <w:r>
          <w:rPr>
            <w:rStyle w:val="InternetLink"/>
            <w:rFonts w:ascii="Gentium Basic" w:hAnsi="Gentium Basic"/>
            <w:b w:val="false"/>
            <w:bCs w:val="false"/>
            <w:sz w:val="22"/>
            <w:szCs w:val="22"/>
          </w:rPr>
          <w:t>https://rvb.ru/dostoevski/tocvol13.htm</w:t>
        </w:r>
      </w:hyperlink>
      <w:r>
        <w:rPr>
          <w:rFonts w:ascii="Gentium Basic" w:hAnsi="Gentium Basic"/>
          <w:b w:val="false"/>
          <w:bCs w:val="false"/>
          <w:sz w:val="22"/>
          <w:szCs w:val="22"/>
        </w:rPr>
        <w:t xml:space="preserve">  (pp. 341-375).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rFonts w:ascii="Gentium Basic" w:hAnsi="Gentium Basic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  <w:t xml:space="preserve">3. Elencate le varianti come sotto e commentate le diverse scelte fatte dai due traduttori in base al testo russo, cercando di spiegare perché potrebbe esistere il divario tra le due versioni. Scegliete i momenti che offrono uno spunto per </w:t>
      </w:r>
      <w:r>
        <w:rPr>
          <w:rFonts w:ascii="Gentium Basic" w:hAnsi="Gentium Basic"/>
          <w:b w:val="false"/>
          <w:bCs w:val="false"/>
          <w:sz w:val="22"/>
          <w:szCs w:val="22"/>
          <w:u w:val="single"/>
        </w:rPr>
        <w:t>riflessione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e cercate a spiegare perché sono interessanti. Potrete pensare, ad es., a ‘Che effetto ha questa differenza sul senso del testo (il senso logico e/o emotivo e/o estetico, ecc.)?’, a ‘Quale versione è la migliore e perché?’, ecc. Aggiungere lo spazio necessario per una risposta completa.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  <w:b/>
          <w:bCs/>
          <w:sz w:val="22"/>
          <w:szCs w:val="22"/>
          <w:u w:val="single"/>
        </w:rPr>
        <w:t>Esempio 1</w:t>
      </w:r>
      <w:r>
        <w:rPr>
          <w:rFonts w:ascii="Gentium Basic" w:hAnsi="Gentium Basic"/>
          <w:b w:val="false"/>
          <w:bCs w:val="false"/>
          <w:sz w:val="22"/>
          <w:szCs w:val="22"/>
        </w:rPr>
        <w:t>:</w:t>
        <w:tab/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Spendel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(1995):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Vitale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</w:t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2018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): 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Dostoevskij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(18</w:t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76</w:t>
      </w:r>
      <w:r>
        <w:rPr>
          <w:rFonts w:ascii="Gentium Basic" w:hAnsi="Gentium Basic"/>
          <w:b w:val="false"/>
          <w:bCs w:val="false"/>
          <w:sz w:val="22"/>
          <w:szCs w:val="22"/>
        </w:rPr>
        <w:t>):</w:t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C</w:t>
      </w:r>
      <w:r>
        <w:rPr>
          <w:rFonts w:ascii="Gentium Basic" w:hAnsi="Gentium Basic"/>
          <w:b w:val="false"/>
          <w:bCs w:val="false"/>
          <w:sz w:val="22"/>
          <w:szCs w:val="22"/>
        </w:rPr>
        <w:t>ommento: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  <w:b/>
          <w:bCs/>
          <w:sz w:val="22"/>
          <w:szCs w:val="22"/>
          <w:u w:val="single"/>
        </w:rPr>
        <w:t>Esempio 2</w:t>
      </w:r>
      <w:r>
        <w:rPr>
          <w:rFonts w:ascii="Gentium Basic" w:hAnsi="Gentium Basic"/>
          <w:b w:val="false"/>
          <w:bCs w:val="false"/>
          <w:sz w:val="22"/>
          <w:szCs w:val="22"/>
        </w:rPr>
        <w:t>:</w:t>
        <w:tab/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Spendel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(1995):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Vitale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</w:t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2018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): 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Dostoevskij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(18</w:t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76</w:t>
      </w:r>
      <w:r>
        <w:rPr>
          <w:rFonts w:ascii="Gentium Basic" w:hAnsi="Gentium Basic"/>
          <w:b w:val="false"/>
          <w:bCs w:val="false"/>
          <w:sz w:val="22"/>
          <w:szCs w:val="22"/>
        </w:rPr>
        <w:t>):</w:t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C</w:t>
      </w:r>
      <w:r>
        <w:rPr>
          <w:rFonts w:ascii="Gentium Basic" w:hAnsi="Gentium Basic"/>
          <w:b w:val="false"/>
          <w:bCs w:val="false"/>
          <w:sz w:val="22"/>
          <w:szCs w:val="22"/>
        </w:rPr>
        <w:t>ommento: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  <w:b/>
          <w:bCs/>
          <w:sz w:val="22"/>
          <w:szCs w:val="22"/>
          <w:u w:val="single"/>
        </w:rPr>
        <w:t>Esempio 3</w:t>
      </w:r>
      <w:r>
        <w:rPr>
          <w:rFonts w:ascii="Gentium Basic" w:hAnsi="Gentium Basic"/>
          <w:b/>
          <w:bCs/>
          <w:sz w:val="22"/>
          <w:szCs w:val="22"/>
        </w:rPr>
        <w:t>:</w:t>
      </w:r>
      <w:r>
        <w:rPr>
          <w:rFonts w:ascii="Gentium Basic" w:hAnsi="Gentium Basic"/>
          <w:b w:val="false"/>
          <w:bCs w:val="false"/>
          <w:sz w:val="22"/>
          <w:szCs w:val="22"/>
        </w:rPr>
        <w:tab/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Spendel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(1995):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Vitale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</w:t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2018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): 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  <w:tab/>
        <w:t>Dostoevskij</w:t>
      </w:r>
      <w:r>
        <w:rPr>
          <w:rFonts w:ascii="Gentium Basic" w:hAnsi="Gentium Basic"/>
          <w:b w:val="false"/>
          <w:bCs w:val="false"/>
          <w:sz w:val="22"/>
          <w:szCs w:val="22"/>
        </w:rPr>
        <w:t xml:space="preserve"> (18</w:t>
      </w:r>
      <w:r>
        <w:rPr>
          <w:rFonts w:eastAsia="Songti SC" w:cs="Arial Unicode MS" w:ascii="Gentium Basic" w:hAnsi="Gentium Basic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>76</w:t>
      </w:r>
      <w:r>
        <w:rPr>
          <w:rFonts w:ascii="Gentium Basic" w:hAnsi="Gentium Basic"/>
          <w:b w:val="false"/>
          <w:bCs w:val="false"/>
          <w:sz w:val="22"/>
          <w:szCs w:val="22"/>
        </w:rPr>
        <w:t>):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sz w:val="22"/>
          <w:szCs w:val="22"/>
        </w:rPr>
      </w:pPr>
      <w:r>
        <w:rPr>
          <w:rFonts w:ascii="Gentium Basic" w:hAnsi="Gentium Basic"/>
          <w:b w:val="false"/>
          <w:bCs w:val="false"/>
          <w:sz w:val="22"/>
          <w:szCs w:val="22"/>
        </w:rPr>
        <w:tab/>
        <w:tab/>
        <w:t>Commento: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eastAsia="Songti SC" w:cs="Arial Unicode MS"/>
          <w:b w:val="false"/>
          <w:bCs w:val="false"/>
          <w:color w:val="auto"/>
          <w:kern w:val="2"/>
          <w:sz w:val="22"/>
          <w:szCs w:val="22"/>
          <w:lang w:val="en-US" w:eastAsia="zh-CN" w:bidi="hi-IN"/>
        </w:rPr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</w:rPr>
      </w:r>
    </w:p>
    <w:tbl>
      <w:tblPr>
        <w:tblW w:w="9814" w:type="dxa"/>
        <w:jc w:val="left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63"/>
        <w:gridCol w:w="2456"/>
        <w:gridCol w:w="2356"/>
        <w:gridCol w:w="2238"/>
      </w:tblGrid>
      <w:tr>
        <w:trPr/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sz w:val="24"/>
                <w:szCs w:val="24"/>
              </w:rPr>
            </w:pPr>
            <w:r>
              <w:rPr>
                <w:rFonts w:ascii="Gentium Basic" w:hAnsi="Gentium Basic"/>
                <w:b/>
                <w:sz w:val="24"/>
                <w:szCs w:val="24"/>
              </w:rPr>
              <w:t>Studente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sz w:val="24"/>
                <w:szCs w:val="24"/>
              </w:rPr>
            </w:pPr>
            <w:r>
              <w:rPr>
                <w:rFonts w:ascii="Gentium Basic" w:hAnsi="Gentium Basic"/>
                <w:b/>
                <w:bCs/>
                <w:sz w:val="24"/>
                <w:szCs w:val="24"/>
              </w:rPr>
              <w:t>pagine nel testo del 1995 (Spendel)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sz w:val="24"/>
                <w:szCs w:val="24"/>
              </w:rPr>
            </w:pPr>
            <w:r>
              <w:rPr>
                <w:rFonts w:ascii="Gentium Basic" w:hAnsi="Gentium Basic"/>
                <w:b/>
                <w:bCs/>
                <w:sz w:val="24"/>
                <w:szCs w:val="24"/>
              </w:rPr>
              <w:t>pa</w:t>
            </w:r>
            <w:r>
              <w:rPr>
                <w:rFonts w:eastAsia="Songti SC" w:cs="Arial Unicode MS" w:ascii="Gentium Basic" w:hAnsi="Gentium Basic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 xml:space="preserve">gine nel testo 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sz w:val="24"/>
                <w:szCs w:val="24"/>
              </w:rPr>
            </w:pPr>
            <w:r>
              <w:rPr>
                <w:rFonts w:eastAsia="Songti SC" w:cs="Arial Unicode MS" w:ascii="Gentium Basic" w:hAnsi="Gentium Basic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del 2018 (Vitale)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sz w:val="24"/>
                <w:szCs w:val="24"/>
              </w:rPr>
            </w:pPr>
            <w:r>
              <w:rPr>
                <w:rFonts w:eastAsia="Songti SC" w:cs="Arial Unicode MS" w:ascii="Gentium Basic" w:hAnsi="Gentium Basic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pagine nel testo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russo</w:t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ABBIATI VERONICA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  <w:t>5-6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</w:tr>
      <w:tr>
        <w:trPr>
          <w:trHeight w:val="55" w:hRule="atLeast"/>
        </w:trPr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CACCIA FRANCESCO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  <w:t>7-9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CANCELLIERE SIRJA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10-11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CIPOLLA MARTINA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  <w:t>1</w:t>
            </w: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2-14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eastAsia="Songti SC" w:cs="Arial Unicode MS"/>
                <w:color w:val="auto"/>
                <w:kern w:val="2"/>
                <w:lang w:val="en-US" w:eastAsia="zh-CN" w:bidi="hi-IN"/>
              </w:rPr>
            </w:pPr>
            <w:r>
              <w:rPr>
                <w:rFonts w:eastAsia="Songti SC" w:cs="Arial Unicode MS"/>
                <w:color w:val="auto"/>
                <w:kern w:val="2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D'ELIA ANGELICA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15-16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FERI   IRENE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17-19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GIUSTO  RACHELE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20-21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GROSSO CECILIA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22-24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MARCONE  GIOVANNI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25-26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ORIONE STEFANIA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27-29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PARODI SAMANTHA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30-31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PAVANELLI NOEMI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32-34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PIGNONE SANDRA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35-36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POZZOLI GIANLUCA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37-39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SACCO LUCA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40-41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SORTINO AURORA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42-44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TEDOLDI MARGHERITA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45-47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VALLET MICHELLE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48-50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</w:rPr>
              <w:t>ZEQIRI LINA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  <w:t>51-53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bidi w:val="0"/>
        <w:jc w:val="left"/>
        <w:rPr>
          <w:b/>
          <w:b/>
          <w:bCs/>
          <w:color w:val="FF00FF"/>
        </w:rPr>
      </w:pPr>
      <w:r>
        <w:rPr>
          <w:b/>
          <w:bCs/>
          <w:color w:val="FF00FF"/>
        </w:rPr>
        <w:t>PER CHI VORREBBE FARE IL COMPITO SU “PADRONE E SERVO”</w:t>
      </w:r>
    </w:p>
    <w:p>
      <w:pPr>
        <w:pStyle w:val="Normal"/>
        <w:bidi w:val="0"/>
        <w:jc w:val="left"/>
        <w:rPr>
          <w:b/>
          <w:b/>
          <w:bCs/>
          <w:color w:val="FF00FF"/>
        </w:rPr>
      </w:pPr>
      <w:r>
        <w:rPr>
          <w:rFonts w:ascii="Gentium Basic" w:hAnsi="Gentium Basic"/>
          <w:b/>
          <w:bCs/>
          <w:color w:val="FF00FF"/>
          <w:sz w:val="22"/>
          <w:szCs w:val="22"/>
        </w:rPr>
        <w:t>2. Controllare il testo in lingua russa per ognuno di questi tre momenti:</w:t>
      </w:r>
    </w:p>
    <w:p>
      <w:pPr>
        <w:pStyle w:val="Normal"/>
        <w:bidi w:val="0"/>
        <w:jc w:val="left"/>
        <w:rPr>
          <w:color w:val="0000CC"/>
        </w:rPr>
      </w:pPr>
      <w:r>
        <w:rPr>
          <w:rStyle w:val="InternetLink"/>
          <w:rFonts w:ascii="Gentium Basic" w:hAnsi="Gentium Basic"/>
          <w:b/>
          <w:bCs/>
          <w:color w:val="FF00FF"/>
          <w:sz w:val="22"/>
          <w:szCs w:val="22"/>
        </w:rPr>
        <w:t>https://rvb.ru/tolstoy/01text/vol_12/01text/0292.htm</w:t>
      </w:r>
      <w:r>
        <w:rPr>
          <w:rFonts w:ascii="Gentium Basic" w:hAnsi="Gentium Basic"/>
          <w:b/>
          <w:bCs/>
          <w:color w:val="FF00FF"/>
          <w:sz w:val="22"/>
          <w:szCs w:val="22"/>
        </w:rPr>
        <w:t xml:space="preserve">  (pp.  297-341)</w:t>
      </w:r>
    </w:p>
    <w:p>
      <w:pPr>
        <w:pStyle w:val="Normal"/>
        <w:bidi w:val="0"/>
        <w:jc w:val="left"/>
        <w:rPr>
          <w:rFonts w:ascii="Gentium Basic" w:hAnsi="Gentium Basic"/>
        </w:rPr>
      </w:pPr>
      <w:r>
        <w:rPr>
          <w:rFonts w:ascii="Gentium Basic" w:hAnsi="Gentium Basic"/>
        </w:rPr>
      </w:r>
    </w:p>
    <w:tbl>
      <w:tblPr>
        <w:tblW w:w="9814" w:type="dxa"/>
        <w:jc w:val="left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63"/>
        <w:gridCol w:w="2456"/>
        <w:gridCol w:w="2356"/>
        <w:gridCol w:w="2238"/>
      </w:tblGrid>
      <w:tr>
        <w:trPr/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sz w:val="24"/>
                <w:szCs w:val="24"/>
              </w:rPr>
            </w:pPr>
            <w:r>
              <w:rPr>
                <w:rFonts w:ascii="Gentium Basic" w:hAnsi="Gentium Basic"/>
                <w:b/>
                <w:sz w:val="24"/>
                <w:szCs w:val="24"/>
              </w:rPr>
              <w:t>Studente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Gentium Basic" w:hAnsi="Gentium Basic"/>
                <w:b/>
                <w:bCs/>
                <w:color w:val="FF00FF"/>
                <w:sz w:val="24"/>
                <w:szCs w:val="24"/>
              </w:rPr>
              <w:t xml:space="preserve">pagine nel testo </w:t>
            </w:r>
            <w:r>
              <w:rPr>
                <w:rFonts w:ascii="Gentium Basic" w:hAnsi="Gentium Basic"/>
                <w:b/>
                <w:bCs/>
                <w:color w:val="FF00FF"/>
                <w:sz w:val="24"/>
                <w:szCs w:val="24"/>
              </w:rPr>
              <w:t>dell’anno X (</w:t>
            </w:r>
            <w:r>
              <w:rPr>
                <w:rFonts w:eastAsia="Songti SC" w:cs="Arial Unicode MS" w:ascii="Gentium Basic" w:hAnsi="Gentium Basic"/>
                <w:b/>
                <w:bCs/>
                <w:color w:val="FF00FF"/>
                <w:kern w:val="2"/>
                <w:sz w:val="24"/>
                <w:szCs w:val="24"/>
                <w:lang w:val="en-US" w:eastAsia="zh-CN" w:bidi="hi-IN"/>
              </w:rPr>
              <w:t>anonimo)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color w:val="FF00FF"/>
              </w:rPr>
            </w:pPr>
            <w:r>
              <w:rPr>
                <w:rFonts w:ascii="Gentium Basic" w:hAnsi="Gentium Basic"/>
                <w:b/>
                <w:bCs/>
                <w:color w:val="FF00FF"/>
                <w:sz w:val="24"/>
                <w:szCs w:val="24"/>
              </w:rPr>
              <w:t>pa</w:t>
            </w:r>
            <w:r>
              <w:rPr>
                <w:rFonts w:eastAsia="Songti SC" w:cs="Arial Unicode MS" w:ascii="Gentium Basic" w:hAnsi="Gentium Basic"/>
                <w:b/>
                <w:bCs/>
                <w:color w:val="FF00FF"/>
                <w:kern w:val="2"/>
                <w:sz w:val="24"/>
                <w:szCs w:val="24"/>
                <w:lang w:val="en-US" w:eastAsia="zh-CN" w:bidi="hi-IN"/>
              </w:rPr>
              <w:t xml:space="preserve">gine nel testo </w:t>
            </w:r>
            <w:r>
              <w:rPr>
                <w:rFonts w:eastAsia="Songti SC" w:cs="Arial Unicode MS" w:ascii="Gentium Basic" w:hAnsi="Gentium Basic"/>
                <w:b/>
                <w:bCs/>
                <w:color w:val="FF00FF"/>
                <w:kern w:val="2"/>
                <w:sz w:val="24"/>
                <w:szCs w:val="24"/>
                <w:lang w:val="en-US" w:eastAsia="zh-CN" w:bidi="hi-IN"/>
              </w:rPr>
              <w:t>del 2013 (De Gavardo)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color w:val="FF00FF"/>
                <w:sz w:val="24"/>
                <w:szCs w:val="24"/>
              </w:rPr>
            </w:pPr>
            <w:r>
              <w:rPr>
                <w:rFonts w:ascii="Gentium Basic" w:hAnsi="Gentium Basic"/>
                <w:b/>
                <w:bCs/>
                <w:color w:val="FF00FF"/>
                <w:sz w:val="24"/>
                <w:szCs w:val="24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sz w:val="24"/>
                <w:szCs w:val="24"/>
              </w:rPr>
            </w:pPr>
            <w:r>
              <w:rPr>
                <w:rFonts w:eastAsia="Songti SC" w:cs="Arial Unicode MS" w:ascii="Gentium Basic" w:hAnsi="Gentium Basic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pagine nel testo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b/>
                <w:b/>
                <w:bCs/>
                <w:sz w:val="24"/>
                <w:szCs w:val="24"/>
              </w:rPr>
            </w:pPr>
            <w:r>
              <w:rPr>
                <w:rFonts w:eastAsia="Songti SC" w:cs="Arial Unicode MS" w:ascii="Gentium Basic" w:hAnsi="Gentium Basic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russo</w:t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ABBIATI VERONICA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color w:val="FF00FF"/>
                <w:sz w:val="24"/>
                <w:szCs w:val="24"/>
              </w:rPr>
            </w:pPr>
            <w:r>
              <w:rPr>
                <w:rFonts w:ascii="Gentium Basic" w:hAnsi="Gentium Basic"/>
                <w:color w:val="FF00FF"/>
                <w:sz w:val="24"/>
                <w:szCs w:val="24"/>
              </w:rPr>
              <w:t>5-</w:t>
            </w: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</w:tr>
      <w:tr>
        <w:trPr>
          <w:trHeight w:val="55" w:hRule="atLeast"/>
        </w:trPr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CACCIA FRANCESCO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9-13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CANCELLIERE SIRJA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14-17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CIPOLLA MARTINA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sz w:val="24"/>
                <w:szCs w:val="24"/>
              </w:rPr>
            </w:pPr>
            <w:r>
              <w:rPr>
                <w:rFonts w:ascii="Gentium Basic" w:hAnsi="Gentium Basic"/>
                <w:sz w:val="24"/>
                <w:szCs w:val="24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/>
                <w:color w:val="FF00FF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18-22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eastAsia="Songti SC" w:cs="Arial Unicode MS"/>
                <w:color w:val="auto"/>
                <w:kern w:val="2"/>
                <w:lang w:val="en-US" w:eastAsia="zh-CN" w:bidi="hi-IN"/>
              </w:rPr>
            </w:pPr>
            <w:r>
              <w:rPr>
                <w:rFonts w:eastAsia="Songti SC" w:cs="Arial Unicode MS"/>
                <w:color w:val="auto"/>
                <w:kern w:val="2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D'ELIA ANGELICA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23-26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FERI   IRENE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27-31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GIUSTO  RACHELE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32-35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GROSSO CECILIA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36-40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MARCONE  GIOVANNI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41-44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ORIONE STEFANIA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45-49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PARODI SAMANTHA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50-54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PAVANELLI NOEMI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55-59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PIGNONE SANDRA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60-64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POZZOLI GIANLUCA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65-69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SACCO LUCA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70-74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SORTINO AURORA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75-79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TEDOLDI MARGHERITA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shd w:fill="auto" w:val="clear"/>
                <w:lang w:val="en-US" w:eastAsia="zh-CN" w:bidi="hi-IN"/>
              </w:rPr>
              <w:t>80-84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000000"/>
                <w:kern w:val="2"/>
                <w:sz w:val="24"/>
                <w:szCs w:val="24"/>
                <w:shd w:fill="auto" w:val="clear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  <w:shd w:fill="auto" w:val="clear"/>
              </w:rPr>
              <w:t>VALLET MICHELLE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85-89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  <w:tr>
        <w:trPr/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Gentium Basic" w:hAnsi="Gentium Basic"/>
                <w:color w:val="000000"/>
                <w:sz w:val="24"/>
                <w:szCs w:val="24"/>
              </w:rPr>
            </w:pPr>
            <w:r>
              <w:rPr>
                <w:rFonts w:ascii="Gentium Basic" w:hAnsi="Gentium Basic"/>
                <w:color w:val="000000"/>
                <w:sz w:val="24"/>
                <w:szCs w:val="24"/>
              </w:rPr>
              <w:t>ZEQIRI LINA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FF00FF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FF00FF"/>
                <w:kern w:val="2"/>
                <w:sz w:val="24"/>
                <w:szCs w:val="24"/>
                <w:lang w:val="en-US" w:eastAsia="zh-CN" w:bidi="hi-IN"/>
              </w:rPr>
              <w:t>90-94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left"/>
              <w:rPr>
                <w:rFonts w:ascii="Gentium Basic" w:hAnsi="Gentium Basic" w:eastAsia="Songti SC" w:cs="Arial Unicode MS"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ongti SC" w:cs="Arial Unicode MS" w:ascii="Gentium Basic" w:hAnsi="Gentium Basic"/>
                <w:color w:val="auto"/>
                <w:kern w:val="2"/>
                <w:sz w:val="24"/>
                <w:szCs w:val="24"/>
                <w:lang w:val="en-US" w:eastAsia="zh-CN" w:bidi="hi-IN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Gentium Basic" w:hAnsi="Gentium Basic"/>
          <w:color w:val="FF00FF"/>
          <w:sz w:val="22"/>
          <w:szCs w:val="22"/>
        </w:rPr>
      </w:pPr>
      <w:r>
        <w:rPr>
          <w:rFonts w:ascii="Gentium Basic" w:hAnsi="Gentium Basic"/>
          <w:b/>
          <w:bCs/>
          <w:color w:val="FF00FF"/>
          <w:sz w:val="22"/>
          <w:szCs w:val="22"/>
          <w:u w:val="single"/>
        </w:rPr>
        <w:t>Esempio 1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:</w:t>
        <w:tab/>
      </w: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>anonimo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 xml:space="preserve"> (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anno x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):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color w:val="FF00FF"/>
          <w:sz w:val="22"/>
          <w:szCs w:val="22"/>
        </w:rPr>
      </w:pP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color w:val="FF00FF"/>
          <w:sz w:val="22"/>
          <w:szCs w:val="22"/>
        </w:rPr>
      </w:pP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ab/>
        <w:tab/>
      </w: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 xml:space="preserve">De Gavardo 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(</w:t>
      </w: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>201</w:t>
      </w: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>3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 xml:space="preserve">): </w:t>
      </w:r>
    </w:p>
    <w:p>
      <w:pPr>
        <w:pStyle w:val="Normal"/>
        <w:bidi w:val="0"/>
        <w:jc w:val="left"/>
        <w:rPr>
          <w:rFonts w:ascii="Gentium Basic" w:hAnsi="Gentium Basic"/>
          <w:b w:val="false"/>
          <w:b w:val="false"/>
          <w:bCs w:val="false"/>
          <w:color w:val="FF00FF"/>
          <w:sz w:val="22"/>
          <w:szCs w:val="22"/>
        </w:rPr>
      </w:pP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color w:val="FF00FF"/>
          <w:sz w:val="22"/>
          <w:szCs w:val="22"/>
        </w:rPr>
      </w:pP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ab/>
        <w:tab/>
      </w: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 xml:space="preserve">Tolstoj 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(18</w:t>
      </w: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>94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):</w:t>
      </w:r>
    </w:p>
    <w:p>
      <w:pPr>
        <w:pStyle w:val="Normal"/>
        <w:bidi w:val="0"/>
        <w:jc w:val="left"/>
        <w:rPr>
          <w:rFonts w:ascii="Gentium Basic" w:hAnsi="Gentium Basic"/>
          <w:color w:val="FF00FF"/>
          <w:sz w:val="22"/>
          <w:szCs w:val="22"/>
        </w:rPr>
      </w:pPr>
      <w:r>
        <w:rPr>
          <w:rFonts w:ascii="Gentium Basic" w:hAnsi="Gentium Basic"/>
          <w:color w:val="FF00FF"/>
          <w:sz w:val="22"/>
          <w:szCs w:val="22"/>
        </w:rPr>
      </w:r>
    </w:p>
    <w:p>
      <w:pPr>
        <w:pStyle w:val="Normal"/>
        <w:bidi w:val="0"/>
        <w:jc w:val="left"/>
        <w:rPr>
          <w:rFonts w:ascii="Gentium Basic" w:hAnsi="Gentium Basic"/>
          <w:color w:val="FF00FF"/>
          <w:sz w:val="22"/>
          <w:szCs w:val="22"/>
        </w:rPr>
      </w:pPr>
      <w:r>
        <w:rPr>
          <w:rFonts w:eastAsia="Songti SC" w:cs="Arial Unicode MS" w:ascii="Gentium Basic" w:hAnsi="Gentium Basic"/>
          <w:b w:val="false"/>
          <w:bCs w:val="false"/>
          <w:color w:val="FF00FF"/>
          <w:kern w:val="2"/>
          <w:sz w:val="22"/>
          <w:szCs w:val="22"/>
          <w:lang w:val="en-US" w:eastAsia="zh-CN" w:bidi="hi-IN"/>
        </w:rPr>
        <w:tab/>
        <w:tab/>
        <w:t>C</w:t>
      </w:r>
      <w:r>
        <w:rPr>
          <w:rFonts w:ascii="Gentium Basic" w:hAnsi="Gentium Basic"/>
          <w:b w:val="false"/>
          <w:bCs w:val="false"/>
          <w:color w:val="FF00FF"/>
          <w:sz w:val="22"/>
          <w:szCs w:val="22"/>
        </w:rPr>
        <w:t>ommento:</w:t>
      </w:r>
    </w:p>
    <w:p>
      <w:pPr>
        <w:pStyle w:val="Normal"/>
        <w:rPr>
          <w:rFonts w:ascii="Gentium Basic" w:hAnsi="Gentium Basic"/>
          <w:color w:val="FF00FF"/>
          <w:sz w:val="22"/>
          <w:szCs w:val="22"/>
        </w:rPr>
      </w:pPr>
      <w:r>
        <w:rPr>
          <w:rFonts w:ascii="Gentium Basic" w:hAnsi="Gentium Basic"/>
          <w:color w:val="FF00FF"/>
          <w:sz w:val="22"/>
          <w:szCs w:val="22"/>
        </w:rPr>
      </w:r>
    </w:p>
    <w:p>
      <w:pPr>
        <w:pStyle w:val="Normal"/>
        <w:rPr>
          <w:rFonts w:ascii="Gentium Basic" w:hAnsi="Gentium Basic"/>
          <w:color w:val="FF00FF"/>
          <w:sz w:val="22"/>
          <w:szCs w:val="22"/>
        </w:rPr>
      </w:pPr>
      <w:r>
        <w:rPr>
          <w:rFonts w:ascii="Gentium Basic" w:hAnsi="Gentium Basic"/>
          <w:color w:val="FF00FF"/>
          <w:sz w:val="22"/>
          <w:szCs w:val="22"/>
        </w:rPr>
        <w:t>ecc.</w:t>
      </w:r>
    </w:p>
    <w:sectPr>
      <w:headerReference w:type="default" r:id="rId3"/>
      <w:type w:val="nextPage"/>
      <w:pgSz w:w="12240" w:h="15840"/>
      <w:pgMar w:left="1134" w:right="1134" w:header="1134" w:top="222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Gentium Basic">
    <w:charset w:val="01"/>
    <w:family w:val="swiss"/>
    <w:pitch w:val="default"/>
  </w:font>
  <w:font w:name="Gentium Basic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>
        <w:rFonts w:ascii="Gentium Basic" w:hAnsi="Gentium Basic"/>
      </w:rPr>
    </w:pPr>
    <w:r>
      <w:rPr>
        <w:rFonts w:ascii="Gentium Basic" w:hAnsi="Gentium Basic"/>
        <w:b/>
        <w:bCs/>
        <w:sz w:val="22"/>
        <w:szCs w:val="22"/>
      </w:rPr>
      <w:t>NOME: ____________________________________</w:t>
      <w:tab/>
      <w:tab/>
      <w:tab/>
      <w:tab/>
      <w:tab/>
      <w:tab/>
      <w:tab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vb.ru/dostoevski/tocvol13.ht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LibreOffice/7.1.2.2$MacOSX_X86_64 LibreOffice_project/8a45595d069ef5570103caea1b71cc9d82b2aae4</Application>
  <AppVersion>15.0000</AppVersion>
  <Pages>3</Pages>
  <Words>395</Words>
  <Characters>2296</Characters>
  <CharactersWithSpaces>2623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2021-04-08T09:55:28Z</dcterms:created>
  <dc:creator/>
  <dc:description/>
  <dc:language>en-US</dc:language>
  <cp:lastModifiedBy>Sara Dickinson</cp:lastModifiedBy>
  <dcterms:modified xsi:type="dcterms:W3CDTF">2021-11-18T17:12:31Z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